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C720A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wychowawczych, ich specyfice i procesach w nich zachodzących</w:t>
            </w:r>
            <w:r w:rsidRPr="007B67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>ze szczególnym uwzględnieniem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Zna i rozumie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teori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wychowania, uczenia się i nauczania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 procesów edukacyjnych dla działań praktycznych z zakresu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 i prowadzenia innych form działalności gospodarczej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ychowawczych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oraz analizowania motywów i wzorów ludzkich </w:t>
            </w:r>
            <w:proofErr w:type="spellStart"/>
            <w:r w:rsidRPr="007B67C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procesu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Potrafi generować rozwiązania problemów pedagogicznych i prognozować przebieg ich rozwiązywania oraz przewidywać skutki planowanych działań w określonych obszarach </w:t>
            </w:r>
            <w:r w:rsidRPr="00934E88">
              <w:rPr>
                <w:rFonts w:ascii="Times New Roman" w:hAnsi="Times New Roman"/>
                <w:sz w:val="20"/>
                <w:szCs w:val="20"/>
              </w:rPr>
              <w:t xml:space="preserve">wychowawczych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tworząc swój warsztat pracy pedagoga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 ze szczególnym uwzględnieniem procesu resocjalizacji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C720A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ach obowiązków pedagoga</w:t>
            </w:r>
            <w:r w:rsidRPr="00C82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resocjalizacyjnego</w:t>
            </w:r>
          </w:p>
        </w:tc>
        <w:tc>
          <w:tcPr>
            <w:tcW w:w="916" w:type="dxa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</w:t>
            </w:r>
            <w:r>
              <w:rPr>
                <w:rFonts w:ascii="Times New Roman" w:hAnsi="Times New Roman"/>
                <w:sz w:val="20"/>
                <w:szCs w:val="20"/>
              </w:rPr>
              <w:t>resocjalizacyjnego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</w:t>
            </w:r>
            <w:r>
              <w:rPr>
                <w:rFonts w:ascii="Times New Roman" w:hAnsi="Times New Roman"/>
                <w:sz w:val="20"/>
                <w:szCs w:val="20"/>
              </w:rPr>
              <w:t>awodowych z zakresu pedagogiki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resocjalizacyjnej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720A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720A" w:rsidRPr="00245863" w:rsidRDefault="009C720A" w:rsidP="009C720A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720A" w:rsidRPr="00676DB2" w:rsidRDefault="009C720A" w:rsidP="009C720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720A" w:rsidRPr="00676DB2" w:rsidRDefault="009C720A" w:rsidP="009C720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C720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9C720A"/>
    <w:rsid w:val="00B13237"/>
    <w:rsid w:val="00C83F54"/>
    <w:rsid w:val="00CB1A28"/>
    <w:rsid w:val="00D00346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18</cp:revision>
  <dcterms:created xsi:type="dcterms:W3CDTF">2021-10-13T08:43:00Z</dcterms:created>
  <dcterms:modified xsi:type="dcterms:W3CDTF">2022-03-09T11:30:00Z</dcterms:modified>
</cp:coreProperties>
</file>