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A1185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metodykę wykonywania zadań - norm, procedur i dobrych praktyk stosowanych w edukacji wczesnoszkolnej i przedszkolnej ze szczególnym uwzględnieniem metodyk nauczania przedmiotowego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lastRenderedPageBreak/>
              <w:t>Potrafi posługiwać się językiem obcym na poziomie B2+ Europejskiego Systemu Opisu Kształcenia Językowego realizując zadanie w zakresie praktyk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bookmarkStart w:id="0" w:name="_GoBack" w:colFirst="0" w:colLast="0"/>
            <w:r w:rsidRPr="009C0E62">
              <w:rPr>
                <w:sz w:val="20"/>
                <w:szCs w:val="20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 xml:space="preserve">Wypełniania  rolę jaką jest świadome formowanie </w:t>
            </w:r>
            <w:proofErr w:type="spellStart"/>
            <w:r w:rsidRPr="009C0E62">
              <w:rPr>
                <w:sz w:val="20"/>
                <w:szCs w:val="20"/>
              </w:rPr>
              <w:t>zachowań</w:t>
            </w:r>
            <w:proofErr w:type="spellEnd"/>
            <w:r w:rsidRPr="009C0E62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 xml:space="preserve">Rozpoznaje specyfikę środowiska lokalnego i regionalnego oraz podejmuje współprace i własnych inicjatyw na rzecz dzieci/uczniów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  <w:tr w:rsidR="003A118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21231" w:rsidRDefault="009C0E62" w:rsidP="003A118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185" w:rsidRPr="00676DB2" w:rsidRDefault="003A1185" w:rsidP="003A118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C0E6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3A1185"/>
    <w:rsid w:val="004F2A58"/>
    <w:rsid w:val="00573995"/>
    <w:rsid w:val="006015BC"/>
    <w:rsid w:val="00620EE4"/>
    <w:rsid w:val="00666250"/>
    <w:rsid w:val="007721AE"/>
    <w:rsid w:val="007F05F3"/>
    <w:rsid w:val="008D52A5"/>
    <w:rsid w:val="009C0E62"/>
    <w:rsid w:val="00B13237"/>
    <w:rsid w:val="00C83F54"/>
    <w:rsid w:val="00CB1A28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20</cp:revision>
  <dcterms:created xsi:type="dcterms:W3CDTF">2021-10-13T08:43:00Z</dcterms:created>
  <dcterms:modified xsi:type="dcterms:W3CDTF">2022-03-09T11:36:00Z</dcterms:modified>
</cp:coreProperties>
</file>